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960"/>
        <w:gridCol w:w="1400"/>
        <w:gridCol w:w="2660"/>
        <w:gridCol w:w="2660"/>
      </w:tblGrid>
      <w:tr w:rsidR="00550BAE" w:rsidRPr="00550BAE" w14:paraId="3203B897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F2B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C177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before="108" w:after="108" w:line="216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550BAE" w:rsidRPr="00550BAE" w14:paraId="7C6E6B73" w14:textId="77777777" w:rsidTr="00540B13">
        <w:trPr>
          <w:gridAfter w:val="1"/>
          <w:wAfter w:w="2660" w:type="dxa"/>
          <w:trHeight w:val="276"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41D6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" w:name="sub_2001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  <w:bookmarkEnd w:id="1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638570" w14:textId="77777777" w:rsidR="005A5D8C" w:rsidRPr="00550BAE" w:rsidRDefault="001E7820" w:rsidP="005A5D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Администрация Миллеровского района</w:t>
            </w:r>
            <w:r w:rsidR="00FD474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Ростовской области</w:t>
            </w:r>
          </w:p>
          <w:p w14:paraId="7902D33B" w14:textId="77777777" w:rsidR="00550BAE" w:rsidRPr="00223C1E" w:rsidRDefault="00550BAE" w:rsidP="005A5D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(наименование органа, принимающего реш</w:t>
            </w:r>
            <w:r w:rsidR="005A5D8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ение об установлении публичного 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сервитута)</w:t>
            </w:r>
          </w:p>
        </w:tc>
      </w:tr>
      <w:tr w:rsidR="00550BAE" w:rsidRPr="00550BAE" w14:paraId="3D9722A3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612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2" w:name="sub_2002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</w:t>
            </w:r>
            <w:bookmarkEnd w:id="2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A4DCB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1E7820" w:rsidRPr="00550BAE" w14:paraId="7D325F87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267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3" w:name="sub_2021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2.1</w:t>
            </w:r>
            <w:bookmarkEnd w:id="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3D1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B012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Публичное акционерное общество «</w:t>
            </w:r>
            <w:proofErr w:type="spellStart"/>
            <w:r>
              <w:rPr>
                <w:rFonts w:ascii="Times New Roman CYR" w:eastAsia="Calibri" w:hAnsi="Times New Roman CYR" w:cs="Times New Roman CYR"/>
                <w:color w:val="auto"/>
              </w:rPr>
              <w:t>Россети</w:t>
            </w:r>
            <w:proofErr w:type="spellEnd"/>
            <w:r>
              <w:rPr>
                <w:rFonts w:ascii="Times New Roman CYR" w:eastAsia="Calibri" w:hAnsi="Times New Roman CYR" w:cs="Times New Roman CYR"/>
                <w:color w:val="auto"/>
              </w:rPr>
              <w:t xml:space="preserve"> Юг»</w:t>
            </w:r>
          </w:p>
        </w:tc>
      </w:tr>
      <w:tr w:rsidR="001E7820" w:rsidRPr="00550BAE" w14:paraId="719965B7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B8B4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4" w:name="sub_2022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2.2</w:t>
            </w:r>
            <w:bookmarkEnd w:id="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234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6B34D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ПАО «</w:t>
            </w:r>
            <w:proofErr w:type="spellStart"/>
            <w:r>
              <w:rPr>
                <w:rFonts w:ascii="Times New Roman CYR" w:eastAsia="Calibri" w:hAnsi="Times New Roman CYR" w:cs="Times New Roman CYR"/>
                <w:color w:val="auto"/>
              </w:rPr>
              <w:t>Россети</w:t>
            </w:r>
            <w:proofErr w:type="spellEnd"/>
            <w:r>
              <w:rPr>
                <w:rFonts w:ascii="Times New Roman CYR" w:eastAsia="Calibri" w:hAnsi="Times New Roman CYR" w:cs="Times New Roman CYR"/>
                <w:color w:val="auto"/>
              </w:rPr>
              <w:t xml:space="preserve"> Юг»</w:t>
            </w:r>
          </w:p>
        </w:tc>
      </w:tr>
      <w:tr w:rsidR="001E7820" w:rsidRPr="00550BAE" w14:paraId="7461D132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808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5" w:name="sub_2023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2.3</w:t>
            </w:r>
            <w:bookmarkEnd w:id="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9C5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F439D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Публичное акционерное общество</w:t>
            </w:r>
          </w:p>
        </w:tc>
      </w:tr>
      <w:tr w:rsidR="001E7820" w:rsidRPr="00550BAE" w14:paraId="2172E74C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255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6" w:name="sub_2024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2.4</w:t>
            </w:r>
            <w:bookmarkEnd w:id="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ACC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B782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 xml:space="preserve">344002, Российская Федерация, Ростовская область, г. Ростов-на-Дону, ул. Большая Садовая, д. 49  </w:t>
            </w:r>
          </w:p>
        </w:tc>
      </w:tr>
      <w:tr w:rsidR="001E7820" w:rsidRPr="00550BAE" w14:paraId="4A2BD01D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05C2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7" w:name="sub_2025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2.5</w:t>
            </w:r>
            <w:bookmarkEnd w:id="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153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4B2C9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 xml:space="preserve">344002, Российская Федерация, Ростовская область, г. Ростов-на-Дону, ул. Большая Садовая, д. 49  </w:t>
            </w:r>
          </w:p>
        </w:tc>
      </w:tr>
      <w:tr w:rsidR="001E7820" w:rsidRPr="00550BAE" w14:paraId="4CC33B62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58F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8" w:name="sub_2026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2.6</w:t>
            </w:r>
            <w:bookmarkEnd w:id="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D70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AEE43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office@mrsk-yuga.ru</w:t>
            </w:r>
          </w:p>
        </w:tc>
      </w:tr>
      <w:tr w:rsidR="001E7820" w:rsidRPr="00550BAE" w14:paraId="6DA56B69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D88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9" w:name="sub_2027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2.7</w:t>
            </w:r>
            <w:bookmarkEnd w:id="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4FED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ОГРН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72B50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1076164009096</w:t>
            </w:r>
          </w:p>
        </w:tc>
      </w:tr>
      <w:tr w:rsidR="001E7820" w:rsidRPr="00550BAE" w14:paraId="4BD36D48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2B1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0" w:name="sub_2028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2.8</w:t>
            </w:r>
            <w:bookmarkEnd w:id="1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1B4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ИНН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3E48A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6164266561</w:t>
            </w:r>
          </w:p>
        </w:tc>
      </w:tr>
      <w:tr w:rsidR="001E7820" w:rsidRPr="00550BAE" w14:paraId="41CCC216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368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1" w:name="sub_2003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</w:t>
            </w:r>
            <w:bookmarkEnd w:id="11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4E4DC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1E7820" w:rsidRPr="00550BAE" w14:paraId="5A771960" w14:textId="77777777" w:rsidTr="00540B13">
        <w:trPr>
          <w:gridAfter w:val="1"/>
          <w:wAfter w:w="266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3E8AA0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2" w:name="sub_2031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3.1</w:t>
            </w:r>
            <w:bookmarkEnd w:id="1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4A6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Фамилия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43D0E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Белоусова</w:t>
            </w:r>
          </w:p>
        </w:tc>
      </w:tr>
      <w:tr w:rsidR="001E7820" w:rsidRPr="00550BAE" w14:paraId="3291DBA4" w14:textId="77777777" w:rsidTr="00540B13">
        <w:trPr>
          <w:gridAfter w:val="1"/>
          <w:wAfter w:w="2660" w:type="dxa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5692B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2AD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Имя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4855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 xml:space="preserve">Олеся </w:t>
            </w:r>
          </w:p>
        </w:tc>
      </w:tr>
      <w:tr w:rsidR="001E7820" w:rsidRPr="00550BAE" w14:paraId="7E91C758" w14:textId="77777777" w:rsidTr="00540B13">
        <w:trPr>
          <w:gridAfter w:val="1"/>
          <w:wAfter w:w="266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899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D23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EA375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Александровна</w:t>
            </w:r>
          </w:p>
        </w:tc>
      </w:tr>
      <w:tr w:rsidR="001E7820" w:rsidRPr="00550BAE" w14:paraId="783C2E32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74F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3" w:name="sub_2032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3C8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BA094" w14:textId="77777777" w:rsidR="001E7820" w:rsidRDefault="001E7820" w:rsidP="001E7820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Trofimenko_eo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geoii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7820" w:rsidRPr="00550BAE" w14:paraId="6A16DD7E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B9A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4" w:name="sub_2033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</w:t>
            </w:r>
            <w:bookmarkEnd w:id="1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B1A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Телефон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D6B37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8 (928)038-96-06</w:t>
            </w:r>
          </w:p>
        </w:tc>
      </w:tr>
      <w:tr w:rsidR="001E7820" w:rsidRPr="00550BAE" w14:paraId="2D45F36D" w14:textId="77777777" w:rsidTr="00F45B21">
        <w:trPr>
          <w:gridAfter w:val="1"/>
          <w:wAfter w:w="2660" w:type="dxa"/>
          <w:trHeight w:val="69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AD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5" w:name="sub_2034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3.4</w:t>
            </w:r>
            <w:bookmarkEnd w:id="1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2B7" w14:textId="77777777" w:rsidR="001E7820" w:rsidRPr="00223C1E" w:rsidRDefault="001E7820" w:rsidP="001E78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8392B" w14:textId="77777777" w:rsidR="001E7820" w:rsidRDefault="001E7820" w:rsidP="001E7820">
            <w:pPr>
              <w:jc w:val="both"/>
              <w:rPr>
                <w:rFonts w:ascii="Times New Roman CYR" w:eastAsia="Calibri" w:hAnsi="Times New Roman CYR" w:cs="Times New Roman CYR"/>
                <w:color w:val="auto"/>
              </w:rPr>
            </w:pPr>
            <w:r>
              <w:rPr>
                <w:rFonts w:ascii="Times New Roman CYR" w:eastAsia="Calibri" w:hAnsi="Times New Roman CYR" w:cs="Times New Roman CYR"/>
                <w:color w:val="auto"/>
              </w:rPr>
              <w:t>Доверенность от 28.10.2019 г. 61АА6949289</w:t>
            </w:r>
          </w:p>
        </w:tc>
      </w:tr>
      <w:tr w:rsidR="00550BAE" w:rsidRPr="00550BAE" w14:paraId="144AEAB4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70A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6" w:name="sub_2004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4</w:t>
            </w:r>
            <w:bookmarkEnd w:id="16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00E8C" w14:textId="067F73E2" w:rsidR="00550BAE" w:rsidRPr="00223C1E" w:rsidRDefault="000E7AB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E7AB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Прошу установить публичный сервитут в отношении земель и земельных участков в целях переоформления права аренды земельного участка с кадастровым номером 61:22:0000000:47 (о чем в Едином государственном реестре недвижимости 23.04.2009г. сделана запись регистрации № 61-61-27/008/2009-428) на публичный сервитут для размещения объектов электросетевого хозяйства и их неотъемлемых технологических частей (</w:t>
            </w:r>
            <w:proofErr w:type="gramStart"/>
            <w:r w:rsidRPr="000E7AB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ВЛ</w:t>
            </w:r>
            <w:proofErr w:type="gramEnd"/>
            <w:r w:rsidRPr="000E7AB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35 </w:t>
            </w:r>
            <w:proofErr w:type="spellStart"/>
            <w:r w:rsidRPr="000E7AB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кВ</w:t>
            </w:r>
            <w:proofErr w:type="spellEnd"/>
            <w:r w:rsidRPr="000E7AB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«ГОК-</w:t>
            </w:r>
            <w:proofErr w:type="spellStart"/>
            <w:r w:rsidRPr="000E7AB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Мальчевская</w:t>
            </w:r>
            <w:proofErr w:type="spellEnd"/>
            <w:r w:rsidRPr="000E7AB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)</w:t>
            </w:r>
          </w:p>
        </w:tc>
      </w:tr>
      <w:tr w:rsidR="00550BAE" w:rsidRPr="00550BAE" w14:paraId="1888A919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6B4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7" w:name="sub_2005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5</w:t>
            </w:r>
            <w:bookmarkEnd w:id="17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9FA6B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Испрашиваемый срок публичного сервитута </w:t>
            </w:r>
            <w:r w:rsidR="008E610B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49 лет</w:t>
            </w:r>
            <w:r w:rsidR="00911547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(п. 1 ст. 39.45 ЗК РФ)</w:t>
            </w:r>
          </w:p>
        </w:tc>
      </w:tr>
      <w:tr w:rsidR="00550BAE" w:rsidRPr="00550BAE" w14:paraId="2C6A6700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FD6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8" w:name="sub_2006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6</w:t>
            </w:r>
            <w:bookmarkEnd w:id="18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CB0B9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6" w:history="1">
              <w:r w:rsidRPr="00223C1E">
                <w:rPr>
                  <w:rFonts w:ascii="Times New Roman" w:eastAsiaTheme="minorEastAsia" w:hAnsi="Times New Roman" w:cs="Times New Roman"/>
                  <w:color w:val="auto"/>
                  <w:lang w:bidi="ar-SA"/>
                </w:rPr>
                <w:t>подпунктом 4 пункта 1 ст</w:t>
              </w:r>
              <w:r w:rsidR="00C749ED" w:rsidRPr="00223C1E">
                <w:rPr>
                  <w:rFonts w:ascii="Times New Roman" w:eastAsiaTheme="minorEastAsia" w:hAnsi="Times New Roman" w:cs="Times New Roman"/>
                  <w:color w:val="auto"/>
                  <w:lang w:bidi="ar-SA"/>
                </w:rPr>
                <w:t>.</w:t>
              </w:r>
              <w:r w:rsidRPr="00223C1E">
                <w:rPr>
                  <w:rFonts w:ascii="Times New Roman" w:eastAsiaTheme="minorEastAsia" w:hAnsi="Times New Roman" w:cs="Times New Roman"/>
                  <w:color w:val="auto"/>
                  <w:lang w:bidi="ar-SA"/>
                </w:rPr>
                <w:t xml:space="preserve"> 39.41</w:t>
              </w:r>
            </w:hyperlink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C749ED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ЗК РФ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невозможно или </w:t>
            </w:r>
            <w:proofErr w:type="gramStart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существенно затруднено</w:t>
            </w:r>
            <w:proofErr w:type="gramEnd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(при возникновении таких обстоятельств) </w:t>
            </w:r>
            <w:r w:rsidR="00ED261F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  <w:p w14:paraId="18D463BB" w14:textId="77777777" w:rsidR="00ED261F" w:rsidRPr="008D6C49" w:rsidRDefault="00ED261F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электросетевого хозяйства </w:t>
            </w:r>
            <w:proofErr w:type="gramStart"/>
            <w:r w:rsidR="00616A5D" w:rsidRPr="00616A5D">
              <w:rPr>
                <w:rFonts w:ascii="Times New Roman" w:hAnsi="Times New Roman" w:cs="Times New Roman"/>
                <w:color w:val="000000" w:themeColor="text1"/>
              </w:rPr>
              <w:t>ВЛ</w:t>
            </w:r>
            <w:proofErr w:type="gramEnd"/>
            <w:r w:rsidR="00616A5D" w:rsidRPr="00616A5D">
              <w:rPr>
                <w:rFonts w:ascii="Times New Roman" w:hAnsi="Times New Roman" w:cs="Times New Roman"/>
                <w:color w:val="000000" w:themeColor="text1"/>
              </w:rPr>
              <w:t xml:space="preserve"> 35 </w:t>
            </w:r>
            <w:proofErr w:type="spellStart"/>
            <w:r w:rsidR="00616A5D" w:rsidRPr="00616A5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="00616A5D" w:rsidRPr="00616A5D">
              <w:rPr>
                <w:rFonts w:ascii="Times New Roman" w:hAnsi="Times New Roman" w:cs="Times New Roman"/>
                <w:color w:val="000000" w:themeColor="text1"/>
              </w:rPr>
              <w:t xml:space="preserve"> «ГОК-</w:t>
            </w:r>
            <w:proofErr w:type="spellStart"/>
            <w:r w:rsidR="00616A5D" w:rsidRPr="00616A5D">
              <w:rPr>
                <w:rFonts w:ascii="Times New Roman" w:hAnsi="Times New Roman" w:cs="Times New Roman"/>
                <w:color w:val="000000" w:themeColor="text1"/>
              </w:rPr>
              <w:t>Мальчевская</w:t>
            </w:r>
            <w:proofErr w:type="spellEnd"/>
            <w:r w:rsidR="00616A5D" w:rsidRPr="00616A5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(</w:t>
            </w:r>
            <w:r w:rsidR="008D6C49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год ввода</w:t>
            </w:r>
            <w:r w:rsidR="00616A5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в эксплуатацию – 1976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г.),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</w:t>
            </w:r>
            <w:r w:rsidR="005E4F59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ийных ситуаций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  <w:p w14:paraId="2702AB17" w14:textId="77777777" w:rsidR="00ED261F" w:rsidRPr="00223C1E" w:rsidRDefault="00D264AC" w:rsidP="00D264A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Капитальный</w:t>
            </w:r>
            <w:r w:rsidR="00ED261F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ремонт</w:t>
            </w:r>
            <w:r w:rsidR="00ED261F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объектов электросетевого 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хозяйства</w:t>
            </w:r>
            <w:r w:rsidRPr="00D264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производи</w:t>
            </w:r>
            <w:r w:rsidR="00ED261F" w:rsidRPr="00D264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тся с предварительным уведомлением собственников (землепользователей, землевладельцев, арендаторов) земельных участков</w:t>
            </w:r>
            <w:r w:rsidRPr="00D264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1 раз в 12 лет (продолжительность зависит от объема работ)</w:t>
            </w:r>
            <w:r w:rsidR="00ED261F" w:rsidRPr="00D264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</w:tc>
      </w:tr>
      <w:tr w:rsidR="00550BAE" w:rsidRPr="00550BAE" w14:paraId="5EE441DF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615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19" w:name="sub_2007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7</w:t>
            </w:r>
            <w:bookmarkEnd w:id="19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D7742" w14:textId="77777777" w:rsidR="0010370B" w:rsidRDefault="00550BAE" w:rsidP="0010370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Обоснование необходимости установления публичного сервитута</w:t>
            </w:r>
          </w:p>
          <w:p w14:paraId="5184D839" w14:textId="77777777" w:rsidR="00F45B21" w:rsidRDefault="00F45B21" w:rsidP="0010370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F45B2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Федеральным законом от 03.08.2018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F45B2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г.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F45B2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№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341-ФЗ «О внесении изменений в З</w:t>
            </w:r>
            <w:r w:rsidRPr="00F45B2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емельный кодекс Российской Федерации и отдельные законодательные акты Российской Федерации в части упрощения размещ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ения линейных объектов» (далее – </w:t>
            </w:r>
            <w:r w:rsidRPr="00F45B2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Закон №341-ФЗ) введена в действие ст.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F45B2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3.6 Федерального закона от 25.10.2001 г.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№137-ФЗ «</w:t>
            </w:r>
            <w:r w:rsidRPr="00F45B2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 введении в действие Земельного кодекса Российской Федерации»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(далее –</w:t>
            </w:r>
            <w:r w:rsidRPr="00F45B2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Закон №137-ФЗ).</w:t>
            </w:r>
            <w:proofErr w:type="gramEnd"/>
          </w:p>
          <w:p w14:paraId="7067D3DA" w14:textId="77777777" w:rsidR="0010370B" w:rsidRPr="00E6107E" w:rsidRDefault="00D558E8" w:rsidP="0010370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proofErr w:type="gramStart"/>
            <w:r w:rsidRPr="00E6107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Пунктом 1</w:t>
            </w:r>
            <w:r w:rsidR="0010370B" w:rsidRPr="00E6107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ст. 3.6 </w:t>
            </w:r>
            <w:r w:rsidR="00F45B21" w:rsidRPr="00E6107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Закона </w:t>
            </w:r>
            <w:r w:rsidR="0010370B" w:rsidRPr="00E6107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№ 137-ФЗ  предусмотрено, что </w:t>
            </w:r>
            <w:r w:rsidR="00E610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</w:t>
            </w:r>
            <w:r w:rsidR="00E6107E" w:rsidRPr="00E610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ридические лица, имеющие на </w:t>
            </w:r>
            <w:r w:rsidR="00E6107E" w:rsidRPr="00E610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праве собственности, праве оперативного управления или праве хозяйственного ведения сооружения, которые в соответствии с Земельным </w:t>
            </w:r>
            <w:r w:rsidR="00E610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hyperlink r:id="rId7" w:anchor="dst2013" w:history="1">
              <w:r w:rsidR="00E6107E" w:rsidRPr="00E6107E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кодексом</w:t>
              </w:r>
            </w:hyperlink>
            <w:r w:rsidR="00E6107E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6107E" w:rsidRPr="00E610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Российской Федерации могут размещаться на земельном участке и (или) землях на основании публичного сервитута, имеют право переоформить право постоянного (бессрочного) пользования земельным участком, право аренды земельного участка на публичный, при условии, что</w:t>
            </w:r>
            <w:proofErr w:type="gramEnd"/>
            <w:r w:rsidR="00E6107E" w:rsidRPr="00E610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право собственности, право оперативного управления или право хозяйственного ведения на указанные сооружения возникло до 1 сентября 2018 года.</w:t>
            </w:r>
            <w:r w:rsidR="00E6107E" w:rsidRPr="00E6107E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</w:p>
          <w:p w14:paraId="5A374788" w14:textId="77777777" w:rsidR="007D5B83" w:rsidRPr="008D6C49" w:rsidRDefault="007D5B83" w:rsidP="00F45B21">
            <w:pPr>
              <w:pStyle w:val="a8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0370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как объект электросетевого хозяйства </w:t>
            </w:r>
            <w:proofErr w:type="gramStart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ВЛ</w:t>
            </w:r>
            <w:proofErr w:type="gramEnd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 xml:space="preserve"> 35 </w:t>
            </w:r>
            <w:proofErr w:type="spellStart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 xml:space="preserve"> «ГОК-</w:t>
            </w:r>
            <w:proofErr w:type="spellStart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Мальчевская</w:t>
            </w:r>
            <w:proofErr w:type="spellEnd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существующий (год </w:t>
            </w:r>
            <w:r w:rsidR="008D6C49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ввода в эксплуатацию – 197</w:t>
            </w:r>
            <w:r w:rsidR="005F35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6</w:t>
            </w:r>
            <w:r w:rsidR="00C749ED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г.) и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</w:t>
            </w:r>
            <w:r w:rsidR="00C749ED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ет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реконструкции, </w:t>
            </w:r>
            <w:r w:rsidR="00C749ED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сведения, указанные в </w:t>
            </w:r>
            <w:r w:rsidR="00E43834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1-6 п. 2 ст. 39.41</w:t>
            </w:r>
            <w:r w:rsidR="00E43834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и в </w:t>
            </w:r>
            <w:proofErr w:type="spellStart"/>
            <w:r w:rsidR="00E43834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="00E43834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  <w:r w:rsidR="00223C1E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E43834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 п.3 ст.39.41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ЗК РФ</w:t>
            </w:r>
            <w:r w:rsidR="00E43834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</w:t>
            </w:r>
            <w:r w:rsidR="00ED261F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</w:t>
            </w:r>
            <w:r w:rsidR="005A5D8C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  <w:p w14:paraId="15C017A2" w14:textId="77777777" w:rsidR="00550BAE" w:rsidRDefault="00012234" w:rsidP="00F45B21">
            <w:pPr>
              <w:pStyle w:val="a8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соответствии с п</w:t>
            </w:r>
            <w:r w:rsidR="00613CD6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6. ст. 39.41 ЗК РФ границы публичного сервитута в целях, предусмотренных </w:t>
            </w:r>
            <w:proofErr w:type="spellStart"/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</w:t>
            </w:r>
            <w:r w:rsidR="00ED261F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</w:t>
            </w:r>
            <w:proofErr w:type="spellEnd"/>
            <w:r w:rsidR="00ED261F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1, 3 и 4 ст</w:t>
            </w:r>
            <w:r w:rsidR="00ED261F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</w:t>
            </w:r>
            <w:proofErr w:type="gramEnd"/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превышающих размеров соответствующих охранных зон. </w:t>
            </w:r>
            <w:proofErr w:type="gramStart"/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Учитывая</w:t>
            </w:r>
            <w:r w:rsidR="00C749ED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вышеизложенное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размер публичного сервитута вдоль в</w:t>
            </w:r>
            <w:r w:rsidR="00ED261F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оздушных</w:t>
            </w:r>
            <w:r w:rsidR="00ED261F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линий электропередачи соответствует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границ</w:t>
            </w:r>
            <w:r w:rsidR="00ED261F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е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охранн</w:t>
            </w:r>
            <w:r w:rsidR="00ED261F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ой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зон</w:t>
            </w:r>
            <w:r w:rsidR="00ED261F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ы</w:t>
            </w:r>
            <w:r w:rsidR="00313CB2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, установленной 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</w:t>
            </w:r>
            <w:r w:rsidR="00313CB2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постановлением Правительства РФ от 24.02.2009 г. № 160. </w:t>
            </w:r>
            <w:proofErr w:type="gramEnd"/>
          </w:p>
          <w:p w14:paraId="0557528F" w14:textId="77777777" w:rsidR="001E7820" w:rsidRPr="0012487E" w:rsidRDefault="001E7820" w:rsidP="001E782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Согласно </w:t>
            </w:r>
            <w:r w:rsidRPr="0004476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свидетельству о государственной регистрации права 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напряжение объекта </w:t>
            </w:r>
            <w:proofErr w:type="gramStart"/>
            <w:r w:rsidRPr="00616A5D">
              <w:rPr>
                <w:rFonts w:ascii="Times New Roman" w:hAnsi="Times New Roman" w:cs="Times New Roman"/>
                <w:color w:val="000000" w:themeColor="text1"/>
              </w:rPr>
              <w:t>ВЛ</w:t>
            </w:r>
            <w:proofErr w:type="gramEnd"/>
            <w:r w:rsidRPr="00616A5D">
              <w:rPr>
                <w:rFonts w:ascii="Times New Roman" w:hAnsi="Times New Roman" w:cs="Times New Roman"/>
                <w:color w:val="000000" w:themeColor="text1"/>
              </w:rPr>
              <w:t xml:space="preserve"> 35 </w:t>
            </w:r>
            <w:proofErr w:type="spellStart"/>
            <w:r w:rsidRPr="00616A5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616A5D">
              <w:rPr>
                <w:rFonts w:ascii="Times New Roman" w:hAnsi="Times New Roman" w:cs="Times New Roman"/>
                <w:color w:val="000000" w:themeColor="text1"/>
              </w:rPr>
              <w:t xml:space="preserve"> «ГОК-</w:t>
            </w:r>
            <w:proofErr w:type="spellStart"/>
            <w:r w:rsidRPr="00616A5D">
              <w:rPr>
                <w:rFonts w:ascii="Times New Roman" w:hAnsi="Times New Roman" w:cs="Times New Roman"/>
                <w:color w:val="000000" w:themeColor="text1"/>
              </w:rPr>
              <w:t>Мальчевская</w:t>
            </w:r>
            <w:proofErr w:type="spellEnd"/>
            <w:r w:rsidRPr="00616A5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04476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составляет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35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кВ</w:t>
            </w:r>
            <w:proofErr w:type="spellEnd"/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, таким образом, размер границ публичного сервитута определяется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      </w:r>
            <w:proofErr w:type="spellStart"/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неотклоненном</w:t>
            </w:r>
            <w:proofErr w:type="spellEnd"/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их положении на расстоянии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15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метров (</w:t>
            </w:r>
            <w:proofErr w:type="spellStart"/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п.п</w:t>
            </w:r>
            <w:proofErr w:type="spellEnd"/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а) Приложения к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зон).</w:t>
            </w:r>
          </w:p>
          <w:p w14:paraId="0206EDFA" w14:textId="77777777" w:rsidR="001E7820" w:rsidRPr="00223C1E" w:rsidRDefault="001E7820" w:rsidP="001E7820">
            <w:pPr>
              <w:pStyle w:val="a8"/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Следовательно, с учетом длины траверсы (устройство для крепления проводов, кабеля, каната, изоляторов, разъединителей на линии электропередач и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ПБ 110-15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), разъединяющей крайние провода </w:t>
            </w:r>
            <w:proofErr w:type="gramStart"/>
            <w:r w:rsidRPr="00616A5D">
              <w:rPr>
                <w:rFonts w:ascii="Times New Roman" w:hAnsi="Times New Roman" w:cs="Times New Roman"/>
                <w:color w:val="000000" w:themeColor="text1"/>
              </w:rPr>
              <w:t>ВЛ</w:t>
            </w:r>
            <w:proofErr w:type="gramEnd"/>
            <w:r w:rsidRPr="00616A5D">
              <w:rPr>
                <w:rFonts w:ascii="Times New Roman" w:hAnsi="Times New Roman" w:cs="Times New Roman"/>
                <w:color w:val="000000" w:themeColor="text1"/>
              </w:rPr>
              <w:t xml:space="preserve"> 35 </w:t>
            </w:r>
            <w:proofErr w:type="spellStart"/>
            <w:r w:rsidRPr="00616A5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616A5D">
              <w:rPr>
                <w:rFonts w:ascii="Times New Roman" w:hAnsi="Times New Roman" w:cs="Times New Roman"/>
                <w:color w:val="000000" w:themeColor="text1"/>
              </w:rPr>
              <w:t xml:space="preserve"> «ГОК-</w:t>
            </w:r>
            <w:proofErr w:type="spellStart"/>
            <w:r w:rsidRPr="00616A5D">
              <w:rPr>
                <w:rFonts w:ascii="Times New Roman" w:hAnsi="Times New Roman" w:cs="Times New Roman"/>
                <w:color w:val="000000" w:themeColor="text1"/>
              </w:rPr>
              <w:t>Мальчевская</w:t>
            </w:r>
            <w:proofErr w:type="spellEnd"/>
            <w:r w:rsidRPr="00616A5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2487E">
              <w:rPr>
                <w:rFonts w:ascii="Times New Roman CYR" w:eastAsiaTheme="minorEastAsia" w:hAnsi="Times New Roman CYR" w:cs="Times New Roman CYR"/>
                <w:color w:val="auto"/>
              </w:rPr>
              <w:t xml:space="preserve">, длина которой составляет </w:t>
            </w:r>
            <w:r>
              <w:rPr>
                <w:rFonts w:ascii="Times New Roman CYR" w:eastAsiaTheme="minorEastAsia" w:hAnsi="Times New Roman CYR" w:cs="Times New Roman CYR"/>
                <w:color w:val="auto"/>
              </w:rPr>
              <w:t>2,5 метра</w:t>
            </w:r>
            <w:r w:rsidRPr="0012487E">
              <w:rPr>
                <w:rFonts w:ascii="Times New Roman CYR" w:eastAsiaTheme="minorEastAsia" w:hAnsi="Times New Roman CYR" w:cs="Times New Roman CYR"/>
                <w:color w:val="auto"/>
              </w:rPr>
              <w:t xml:space="preserve">, границы публичного сервитута для эксплуатации </w:t>
            </w:r>
            <w:r w:rsidRPr="00616A5D">
              <w:rPr>
                <w:rFonts w:ascii="Times New Roman" w:hAnsi="Times New Roman" w:cs="Times New Roman"/>
                <w:color w:val="000000" w:themeColor="text1"/>
              </w:rPr>
              <w:t xml:space="preserve">ВЛ 35 </w:t>
            </w:r>
            <w:proofErr w:type="spellStart"/>
            <w:r w:rsidRPr="00616A5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616A5D">
              <w:rPr>
                <w:rFonts w:ascii="Times New Roman" w:hAnsi="Times New Roman" w:cs="Times New Roman"/>
                <w:color w:val="000000" w:themeColor="text1"/>
              </w:rPr>
              <w:t xml:space="preserve"> «ГОК-</w:t>
            </w:r>
            <w:proofErr w:type="spellStart"/>
            <w:r w:rsidRPr="00616A5D">
              <w:rPr>
                <w:rFonts w:ascii="Times New Roman" w:hAnsi="Times New Roman" w:cs="Times New Roman"/>
                <w:color w:val="000000" w:themeColor="text1"/>
              </w:rPr>
              <w:t>Мальчевская</w:t>
            </w:r>
            <w:proofErr w:type="spellEnd"/>
            <w:r w:rsidRPr="00616A5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12487E">
              <w:rPr>
                <w:rFonts w:ascii="Times New Roman CYR" w:eastAsiaTheme="minorEastAsia" w:hAnsi="Times New Roman CYR" w:cs="Times New Roman CYR"/>
                <w:color w:val="auto"/>
              </w:rPr>
              <w:t xml:space="preserve"> составляют </w:t>
            </w:r>
            <w:r>
              <w:rPr>
                <w:rFonts w:ascii="Times New Roman CYR" w:eastAsiaTheme="minorEastAsia" w:hAnsi="Times New Roman CYR" w:cs="Times New Roman CYR"/>
                <w:color w:val="auto"/>
              </w:rPr>
              <w:t>32,5</w:t>
            </w:r>
            <w:r w:rsidRPr="0012487E">
              <w:rPr>
                <w:rFonts w:ascii="Times New Roman CYR" w:eastAsiaTheme="minorEastAsia" w:hAnsi="Times New Roman CYR" w:cs="Times New Roman CYR"/>
                <w:color w:val="auto"/>
              </w:rPr>
              <w:t xml:space="preserve"> метра, то есть по </w:t>
            </w:r>
            <w:r>
              <w:rPr>
                <w:rFonts w:ascii="Times New Roman CYR" w:eastAsiaTheme="minorEastAsia" w:hAnsi="Times New Roman CYR" w:cs="Times New Roman CYR"/>
                <w:color w:val="auto"/>
              </w:rPr>
              <w:t>15</w:t>
            </w:r>
            <w:r w:rsidRPr="0012487E">
              <w:rPr>
                <w:rFonts w:ascii="Times New Roman CYR" w:eastAsiaTheme="minorEastAsia" w:hAnsi="Times New Roman CYR" w:cs="Times New Roman CYR"/>
                <w:color w:val="auto"/>
              </w:rPr>
              <w:t xml:space="preserve"> метров 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от крайнего провода </w:t>
            </w:r>
            <w:r w:rsidRPr="00616A5D">
              <w:rPr>
                <w:rFonts w:ascii="Times New Roman" w:hAnsi="Times New Roman" w:cs="Times New Roman"/>
                <w:color w:val="000000" w:themeColor="text1"/>
              </w:rPr>
              <w:t xml:space="preserve">ВЛ 35 </w:t>
            </w:r>
            <w:proofErr w:type="spellStart"/>
            <w:r w:rsidRPr="00616A5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616A5D">
              <w:rPr>
                <w:rFonts w:ascii="Times New Roman" w:hAnsi="Times New Roman" w:cs="Times New Roman"/>
                <w:color w:val="000000" w:themeColor="text1"/>
              </w:rPr>
              <w:t xml:space="preserve"> «ГОК-</w:t>
            </w:r>
            <w:proofErr w:type="spellStart"/>
            <w:r w:rsidRPr="00616A5D">
              <w:rPr>
                <w:rFonts w:ascii="Times New Roman" w:hAnsi="Times New Roman" w:cs="Times New Roman"/>
                <w:color w:val="000000" w:themeColor="text1"/>
              </w:rPr>
              <w:t>Мальчевская</w:t>
            </w:r>
            <w:proofErr w:type="spellEnd"/>
            <w:r w:rsidRPr="00616A5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обе стороны, плюс длина траверсы (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2,5</w:t>
            </w:r>
            <w:r w:rsidRPr="001248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м).</w:t>
            </w:r>
          </w:p>
        </w:tc>
      </w:tr>
      <w:tr w:rsidR="00550BAE" w:rsidRPr="00550BAE" w14:paraId="5FC6B409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EBD" w14:textId="77777777" w:rsidR="00550BAE" w:rsidRPr="00223C1E" w:rsidRDefault="00550BA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20" w:name="sub_2008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8</w:t>
            </w:r>
            <w:bookmarkEnd w:id="20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6BAA0" w14:textId="77777777" w:rsidR="00223C1E" w:rsidRPr="008D6C49" w:rsidRDefault="00550BA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223C1E">
                <w:rPr>
                  <w:rFonts w:ascii="Times New Roman" w:eastAsiaTheme="minorEastAsia" w:hAnsi="Times New Roman" w:cs="Times New Roman"/>
                  <w:color w:val="auto"/>
                  <w:lang w:bidi="ar-SA"/>
                </w:rPr>
                <w:t>пунктом 2</w:t>
              </w:r>
            </w:hyperlink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переносится в связи с изъятием такого земельного участка для 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государственных или муниципальных нужд) </w:t>
            </w:r>
          </w:p>
          <w:p w14:paraId="51A2709A" w14:textId="77777777" w:rsidR="00550BAE" w:rsidRPr="00223C1E" w:rsidRDefault="00223C1E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электросетевого хозяйства </w:t>
            </w:r>
            <w:proofErr w:type="gramStart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ВЛ</w:t>
            </w:r>
            <w:proofErr w:type="gramEnd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 xml:space="preserve"> 35 </w:t>
            </w:r>
            <w:proofErr w:type="spellStart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 xml:space="preserve"> «ГОК-</w:t>
            </w:r>
            <w:proofErr w:type="spellStart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Мальчевская</w:t>
            </w:r>
            <w:proofErr w:type="spellEnd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5F356A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существующий (год ввода в эксплуатацию – 197</w:t>
            </w:r>
            <w:r w:rsidR="005F35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6</w:t>
            </w:r>
            <w:r w:rsidR="005F356A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г.)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и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 </w:t>
            </w:r>
            <w:proofErr w:type="spellStart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7 п. 1 ст. 39.41 ЗК РФ, не приводятся</w:t>
            </w:r>
          </w:p>
        </w:tc>
      </w:tr>
      <w:tr w:rsidR="00047F59" w:rsidRPr="00550BAE" w14:paraId="6130DB63" w14:textId="77777777" w:rsidTr="005A5D8C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14:paraId="64F5B348" w14:textId="77777777" w:rsidR="00047F59" w:rsidRPr="00223C1E" w:rsidRDefault="00047F59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21" w:name="sub_2009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9</w:t>
            </w:r>
            <w:bookmarkEnd w:id="21"/>
          </w:p>
        </w:tc>
        <w:tc>
          <w:tcPr>
            <w:tcW w:w="5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BAE38" w14:textId="77777777" w:rsidR="00047F59" w:rsidRPr="00223C1E" w:rsidRDefault="00047F59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сервитут</w:t>
            </w:r>
            <w:proofErr w:type="gramEnd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764C0" w14:textId="77777777" w:rsidR="00047F59" w:rsidRPr="00143CAD" w:rsidRDefault="00047F59" w:rsidP="005A5D8C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7F70E7">
              <w:rPr>
                <w:rFonts w:ascii="Times New Roman" w:hAnsi="Times New Roman" w:cs="Times New Roman"/>
              </w:rPr>
              <w:t>61:22:0600008:1</w:t>
            </w:r>
          </w:p>
        </w:tc>
      </w:tr>
      <w:tr w:rsidR="00047F59" w:rsidRPr="00550BAE" w14:paraId="34BD31CA" w14:textId="77777777" w:rsidTr="005A5D8C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2A5D434D" w14:textId="77777777" w:rsidR="00047F59" w:rsidRPr="00223C1E" w:rsidRDefault="00047F59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BAEBF" w14:textId="77777777" w:rsidR="00047F59" w:rsidRPr="00223C1E" w:rsidRDefault="00047F59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BC40F" w14:textId="77777777" w:rsidR="00047F59" w:rsidRPr="00143CAD" w:rsidRDefault="00047F59" w:rsidP="005A5D8C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7F70E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61:22:0000000:1473</w:t>
            </w:r>
          </w:p>
        </w:tc>
      </w:tr>
      <w:tr w:rsidR="00047F59" w:rsidRPr="00550BAE" w14:paraId="16A46DB1" w14:textId="77777777" w:rsidTr="005A5D8C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592BF104" w14:textId="77777777" w:rsidR="00047F59" w:rsidRPr="00223C1E" w:rsidRDefault="00047F59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A101B" w14:textId="77777777" w:rsidR="00047F59" w:rsidRPr="00223C1E" w:rsidRDefault="00047F59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893A2" w14:textId="77777777" w:rsidR="00047F59" w:rsidRPr="00143CAD" w:rsidRDefault="00047F59" w:rsidP="005A5D8C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7F70E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61:22:0000000:1424</w:t>
            </w:r>
          </w:p>
        </w:tc>
      </w:tr>
      <w:tr w:rsidR="00047F59" w:rsidRPr="00550BAE" w14:paraId="39DB6029" w14:textId="77777777" w:rsidTr="005A5D8C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3D10EFD9" w14:textId="77777777" w:rsidR="00047F59" w:rsidRPr="00223C1E" w:rsidRDefault="00047F59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E3BC9" w14:textId="77777777" w:rsidR="00047F59" w:rsidRPr="00223C1E" w:rsidRDefault="00047F59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873B2" w14:textId="77777777" w:rsidR="00047F59" w:rsidRPr="00143CAD" w:rsidRDefault="00047F59" w:rsidP="005A5D8C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7F70E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61:22:0000000:1391</w:t>
            </w:r>
          </w:p>
        </w:tc>
      </w:tr>
      <w:tr w:rsidR="00047F59" w:rsidRPr="00550BAE" w14:paraId="139EF6E6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3004DF56" w14:textId="77777777" w:rsidR="00047F59" w:rsidRPr="00223C1E" w:rsidRDefault="00047F59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8A2EF" w14:textId="77777777" w:rsidR="00047F59" w:rsidRPr="00223C1E" w:rsidRDefault="00047F59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F899B" w14:textId="77777777" w:rsidR="00047F59" w:rsidRPr="00143CAD" w:rsidRDefault="00047F59" w:rsidP="005A5D8C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7F70E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61:22:0000000:1390</w:t>
            </w:r>
          </w:p>
        </w:tc>
      </w:tr>
      <w:tr w:rsidR="00047F59" w:rsidRPr="00550BAE" w14:paraId="1D8FDE37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54728522" w14:textId="77777777" w:rsidR="00047F59" w:rsidRPr="00223C1E" w:rsidRDefault="00047F59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504E" w14:textId="77777777" w:rsidR="00047F59" w:rsidRPr="00223C1E" w:rsidRDefault="00047F59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789D8" w14:textId="77777777" w:rsidR="00047F59" w:rsidRPr="007F70E7" w:rsidRDefault="00047F59" w:rsidP="007F70E7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F70E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61:22:0600028:812</w:t>
            </w:r>
          </w:p>
        </w:tc>
      </w:tr>
      <w:tr w:rsidR="00047F59" w:rsidRPr="00550BAE" w14:paraId="2C6FC310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334CA70B" w14:textId="77777777" w:rsidR="00047F59" w:rsidRPr="00223C1E" w:rsidRDefault="00047F59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11A47" w14:textId="77777777" w:rsidR="00047F59" w:rsidRPr="00223C1E" w:rsidRDefault="00047F59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49E200" w14:textId="77777777" w:rsidR="00047F59" w:rsidRPr="007F70E7" w:rsidRDefault="00047F59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61:22:0600027:795</w:t>
            </w:r>
          </w:p>
        </w:tc>
      </w:tr>
      <w:tr w:rsidR="007F70E7" w:rsidRPr="00550BAE" w14:paraId="26323503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569B04F8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A74DD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202CC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61:22:0600028:748</w:t>
            </w:r>
          </w:p>
        </w:tc>
      </w:tr>
      <w:tr w:rsidR="007F70E7" w:rsidRPr="00550BAE" w14:paraId="30B8E812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6F2872F4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CEE3B0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01CA42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61:22:0600028:385</w:t>
            </w:r>
          </w:p>
        </w:tc>
      </w:tr>
      <w:tr w:rsidR="007F70E7" w:rsidRPr="00550BAE" w14:paraId="1A7274CC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0ABC6D1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71652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200BD3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61:22:0600028:71</w:t>
            </w:r>
          </w:p>
        </w:tc>
      </w:tr>
      <w:tr w:rsidR="005A5D8C" w:rsidRPr="00550BAE" w14:paraId="55FD4548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33F7731A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80BE" w14:textId="77777777" w:rsidR="005A5D8C" w:rsidRPr="00223C1E" w:rsidRDefault="005A5D8C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2B9C3" w14:textId="77777777" w:rsidR="005A5D8C" w:rsidRPr="007F70E7" w:rsidRDefault="007F70E7" w:rsidP="007F70E7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F70E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61:22:0600028:59</w:t>
            </w:r>
          </w:p>
        </w:tc>
      </w:tr>
      <w:tr w:rsidR="007F70E7" w:rsidRPr="00550BAE" w14:paraId="049AC9E5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7057B405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20DFD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FF8B96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61:22:0600023:6</w:t>
            </w:r>
          </w:p>
        </w:tc>
      </w:tr>
      <w:tr w:rsidR="007F70E7" w:rsidRPr="00550BAE" w14:paraId="77B80999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14005D9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D1D63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CD4AB6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61:22:0600027:1655</w:t>
            </w:r>
          </w:p>
        </w:tc>
      </w:tr>
      <w:tr w:rsidR="007F70E7" w:rsidRPr="00550BAE" w14:paraId="2D200473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6A55188F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C0807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ECEBD4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61:22:0600027:1573</w:t>
            </w:r>
          </w:p>
        </w:tc>
      </w:tr>
      <w:tr w:rsidR="007F70E7" w:rsidRPr="00550BAE" w14:paraId="4EBFB3F6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05780DA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F6F333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DCDAB8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61:22:0600027:1547</w:t>
            </w:r>
          </w:p>
        </w:tc>
      </w:tr>
      <w:tr w:rsidR="007F70E7" w:rsidRPr="00550BAE" w14:paraId="736C315C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2B67CC85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1DD039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CA069B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61:22:0600027:1545</w:t>
            </w:r>
          </w:p>
        </w:tc>
      </w:tr>
      <w:tr w:rsidR="007F70E7" w:rsidRPr="00550BAE" w14:paraId="61E3FAFF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18AE9A73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67E359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89C8AB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61:22:0600027:1537</w:t>
            </w:r>
          </w:p>
        </w:tc>
      </w:tr>
      <w:tr w:rsidR="007F70E7" w:rsidRPr="00550BAE" w14:paraId="2848A1A9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220EF4B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88BDE1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E92BF8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61:22:0600027:1536</w:t>
            </w:r>
          </w:p>
        </w:tc>
      </w:tr>
      <w:tr w:rsidR="007F70E7" w:rsidRPr="00550BAE" w14:paraId="09E12FA0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56E9EB3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AE562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CECED3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61:22:0600027:1533</w:t>
            </w:r>
          </w:p>
        </w:tc>
      </w:tr>
      <w:tr w:rsidR="007F70E7" w:rsidRPr="00550BAE" w14:paraId="0BBF798B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1EECBEBB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DC8D9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EF2085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61:22:0600027:1532</w:t>
            </w:r>
          </w:p>
        </w:tc>
      </w:tr>
      <w:tr w:rsidR="007F70E7" w:rsidRPr="00550BAE" w14:paraId="15439CF7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BA67A33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AAD2EA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6A336C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61:22:0600027:1527</w:t>
            </w:r>
          </w:p>
        </w:tc>
      </w:tr>
      <w:tr w:rsidR="007F70E7" w:rsidRPr="00550BAE" w14:paraId="736546AD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5DE96454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AD7FC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CC6D8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61:22:0600027:1520</w:t>
            </w:r>
          </w:p>
        </w:tc>
      </w:tr>
      <w:tr w:rsidR="007F70E7" w:rsidRPr="00550BAE" w14:paraId="6DAAA161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F553E81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4BA4D1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FECA7A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61:22:0600027:1475</w:t>
            </w:r>
          </w:p>
        </w:tc>
      </w:tr>
      <w:tr w:rsidR="007F70E7" w:rsidRPr="00550BAE" w14:paraId="3FF1872C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5FDF834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7C75F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8513F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61:22:0600027:1397</w:t>
            </w:r>
          </w:p>
        </w:tc>
      </w:tr>
      <w:tr w:rsidR="007F70E7" w:rsidRPr="00550BAE" w14:paraId="78C5448A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2FDB800C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CC2467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9D474E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61:22:0600027:1396</w:t>
            </w:r>
          </w:p>
        </w:tc>
      </w:tr>
      <w:tr w:rsidR="007F70E7" w:rsidRPr="00550BAE" w14:paraId="53592F85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2E34DBB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29D27B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7C8077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61:22:0600027:1383</w:t>
            </w:r>
          </w:p>
        </w:tc>
      </w:tr>
      <w:tr w:rsidR="007F70E7" w:rsidRPr="00550BAE" w14:paraId="5119069B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1F80D670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F475A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51182B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61:22:0600027:1243</w:t>
            </w:r>
          </w:p>
        </w:tc>
      </w:tr>
      <w:tr w:rsidR="007F70E7" w:rsidRPr="00550BAE" w14:paraId="3647F1AF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81F521B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DC1ED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25A56B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61:22:0600027:1162</w:t>
            </w:r>
          </w:p>
        </w:tc>
      </w:tr>
      <w:tr w:rsidR="007F70E7" w:rsidRPr="00550BAE" w14:paraId="1436EF59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10F8B10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69909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39DF44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61:22:0000000:46</w:t>
            </w:r>
          </w:p>
        </w:tc>
      </w:tr>
      <w:tr w:rsidR="007F70E7" w:rsidRPr="00550BAE" w14:paraId="57664079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1A88F34A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A1C14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3D59A" w14:textId="77777777" w:rsidR="007F70E7" w:rsidRPr="007F70E7" w:rsidRDefault="00CB2B0D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61:22:0600027:532</w:t>
            </w:r>
          </w:p>
        </w:tc>
      </w:tr>
      <w:tr w:rsidR="005A5D8C" w:rsidRPr="00550BAE" w14:paraId="482CD064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8C43F65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0CC92" w14:textId="77777777" w:rsidR="005A5D8C" w:rsidRPr="00223C1E" w:rsidRDefault="005A5D8C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4F6CC" w14:textId="77777777" w:rsidR="005A5D8C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61:22:0600027:584</w:t>
            </w:r>
          </w:p>
        </w:tc>
      </w:tr>
      <w:tr w:rsidR="007F70E7" w:rsidRPr="00550BAE" w14:paraId="4C112CB0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7A4375D3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C1644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BEF6DC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61:22:0600027:427</w:t>
            </w:r>
          </w:p>
        </w:tc>
      </w:tr>
      <w:tr w:rsidR="007F70E7" w:rsidRPr="00550BAE" w14:paraId="36B143C5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9EC42D0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CC0E77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53AA19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61:22:0600027:426</w:t>
            </w:r>
          </w:p>
        </w:tc>
      </w:tr>
      <w:tr w:rsidR="007F70E7" w:rsidRPr="00550BAE" w14:paraId="1610885A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981A95E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4B5BF6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3938D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61:22:0600027:457</w:t>
            </w:r>
          </w:p>
        </w:tc>
      </w:tr>
      <w:tr w:rsidR="007F70E7" w:rsidRPr="00550BAE" w14:paraId="46CF53B9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134BAF8D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9A794E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C914F" w14:textId="77777777" w:rsidR="007F70E7" w:rsidRPr="007F70E7" w:rsidRDefault="007F70E7" w:rsidP="007F70E7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F70E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61:22:0600008:457</w:t>
            </w:r>
          </w:p>
        </w:tc>
      </w:tr>
      <w:tr w:rsidR="007F70E7" w:rsidRPr="00550BAE" w14:paraId="6033FD06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1ACBB9C0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1B08D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FED4BC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61:22:0600027:381</w:t>
            </w:r>
          </w:p>
        </w:tc>
      </w:tr>
      <w:tr w:rsidR="007F70E7" w:rsidRPr="00550BAE" w14:paraId="30D170B3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57EA905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6F67D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CAF2CD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61:22:0600027:90</w:t>
            </w:r>
          </w:p>
        </w:tc>
      </w:tr>
      <w:tr w:rsidR="007F70E7" w:rsidRPr="00550BAE" w14:paraId="7302558E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6DDD4EC7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41AA2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1E99E3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61:22:0600027:80</w:t>
            </w:r>
          </w:p>
        </w:tc>
      </w:tr>
      <w:tr w:rsidR="007F70E7" w:rsidRPr="00550BAE" w14:paraId="09513FC8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3B991C5A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17498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42EB80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61:22:0600028:68</w:t>
            </w:r>
          </w:p>
        </w:tc>
      </w:tr>
      <w:tr w:rsidR="007F70E7" w:rsidRPr="00550BAE" w14:paraId="0F017AE6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D088A91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B884EA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CFCD3E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61:22:0600027:67</w:t>
            </w:r>
          </w:p>
        </w:tc>
      </w:tr>
      <w:tr w:rsidR="007F70E7" w:rsidRPr="00550BAE" w14:paraId="301334E3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6D485F2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237E30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ACD926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61:22:0600028:65</w:t>
            </w:r>
          </w:p>
        </w:tc>
      </w:tr>
      <w:tr w:rsidR="007F70E7" w:rsidRPr="00550BAE" w14:paraId="6C4028C8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6BE0B723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DEAF47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7107B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61:22:0600027:38</w:t>
            </w:r>
          </w:p>
        </w:tc>
      </w:tr>
      <w:tr w:rsidR="007F70E7" w:rsidRPr="00550BAE" w14:paraId="3AE616EE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74696249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C7E70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BB422A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61:22:0070101:4628</w:t>
            </w:r>
          </w:p>
        </w:tc>
      </w:tr>
      <w:tr w:rsidR="007F70E7" w:rsidRPr="00550BAE" w14:paraId="41DB0DE3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280A81DA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4566C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1438FD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61:22:0070101:3659</w:t>
            </w:r>
          </w:p>
        </w:tc>
      </w:tr>
      <w:tr w:rsidR="007F70E7" w:rsidRPr="00550BAE" w14:paraId="1A249330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BB09E5A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B790DB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3CD0D7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61:22:0070101:17</w:t>
            </w:r>
          </w:p>
        </w:tc>
      </w:tr>
      <w:tr w:rsidR="007F70E7" w:rsidRPr="00550BAE" w14:paraId="02DF2794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82F4C11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85E16C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25BD62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61:22:0600008:990</w:t>
            </w:r>
          </w:p>
        </w:tc>
      </w:tr>
      <w:tr w:rsidR="007F70E7" w:rsidRPr="00550BAE" w14:paraId="26D06FBF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5FE1D7A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BD9A74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DB2969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61:22:0600008:893</w:t>
            </w:r>
          </w:p>
        </w:tc>
      </w:tr>
      <w:tr w:rsidR="007F70E7" w:rsidRPr="00550BAE" w14:paraId="4D45E915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255BBA9F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31D22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51841C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61:22:0600008:892</w:t>
            </w:r>
          </w:p>
        </w:tc>
      </w:tr>
      <w:tr w:rsidR="007F70E7" w:rsidRPr="00550BAE" w14:paraId="3E1A1762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E0BAC57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F33AF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CEB59D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61:22:0600008:849</w:t>
            </w:r>
          </w:p>
        </w:tc>
      </w:tr>
      <w:tr w:rsidR="007F70E7" w:rsidRPr="00550BAE" w14:paraId="63554EE9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9FFF228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99D0E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0B0897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61:22:0600008:838</w:t>
            </w:r>
          </w:p>
        </w:tc>
      </w:tr>
      <w:tr w:rsidR="007F70E7" w:rsidRPr="00550BAE" w14:paraId="1D21669B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5AC13A7A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D417F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6838C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61:22:0600008:6</w:t>
            </w:r>
          </w:p>
        </w:tc>
      </w:tr>
      <w:tr w:rsidR="007F70E7" w:rsidRPr="00550BAE" w14:paraId="30190BBE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256A0C7F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6E22D9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3BE04F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61:22:0600008:5</w:t>
            </w:r>
          </w:p>
        </w:tc>
      </w:tr>
      <w:tr w:rsidR="007F70E7" w:rsidRPr="00550BAE" w14:paraId="187C7DC0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BE45815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3F23A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405152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61:22:0600008:41</w:t>
            </w:r>
          </w:p>
        </w:tc>
      </w:tr>
      <w:tr w:rsidR="007F70E7" w:rsidRPr="00550BAE" w14:paraId="32860806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7AF0E2BF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7BBD7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2DE3B9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61:22:0600008:27</w:t>
            </w:r>
          </w:p>
        </w:tc>
      </w:tr>
      <w:tr w:rsidR="007F70E7" w:rsidRPr="00550BAE" w14:paraId="02569F89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5AEEA386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042140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C585D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61:22:0600008:26</w:t>
            </w:r>
          </w:p>
        </w:tc>
      </w:tr>
      <w:tr w:rsidR="007F70E7" w:rsidRPr="00550BAE" w14:paraId="30A371BA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503303A4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F7F40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618E78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</w:t>
            </w:r>
            <w:r w:rsidR="00563C8F">
              <w:rPr>
                <w:rFonts w:ascii="Times New Roman" w:hAnsi="Times New Roman" w:cs="Times New Roman"/>
              </w:rPr>
              <w:t>1335</w:t>
            </w:r>
          </w:p>
        </w:tc>
      </w:tr>
      <w:tr w:rsidR="007F70E7" w:rsidRPr="00550BAE" w14:paraId="501F5850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94EC823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098D8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D45DCD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61:22:0600008:14</w:t>
            </w:r>
          </w:p>
        </w:tc>
      </w:tr>
      <w:tr w:rsidR="007F70E7" w:rsidRPr="00550BAE" w14:paraId="30896440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5D8BE2E8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8CC30F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23FC0D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61:22:0600008:1302</w:t>
            </w:r>
          </w:p>
        </w:tc>
      </w:tr>
      <w:tr w:rsidR="007F70E7" w:rsidRPr="00550BAE" w14:paraId="671AC9D2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21D7C9D0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5ECE1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3D560B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61:22:0600008:1301</w:t>
            </w:r>
          </w:p>
        </w:tc>
      </w:tr>
      <w:tr w:rsidR="007F70E7" w:rsidRPr="00550BAE" w14:paraId="69D0FF72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9BD77BA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6C667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164139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61:22:0600008:1289</w:t>
            </w:r>
          </w:p>
        </w:tc>
      </w:tr>
      <w:tr w:rsidR="007F70E7" w:rsidRPr="00550BAE" w14:paraId="797E57A9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11E4AD28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38ADC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82DDA9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61:22:0600008:1284</w:t>
            </w:r>
          </w:p>
        </w:tc>
      </w:tr>
      <w:tr w:rsidR="007F70E7" w:rsidRPr="00550BAE" w14:paraId="03DD6ECA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7EF5E23B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F4EABE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DE57DD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61:22:0600008:1273</w:t>
            </w:r>
          </w:p>
        </w:tc>
      </w:tr>
      <w:tr w:rsidR="007F70E7" w:rsidRPr="00550BAE" w14:paraId="53B345EF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60EFE305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51406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E28E3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61:22:0600008:1271</w:t>
            </w:r>
          </w:p>
        </w:tc>
      </w:tr>
      <w:tr w:rsidR="007F70E7" w:rsidRPr="00550BAE" w14:paraId="3548C6F9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1F8EC7E1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96C55A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DD388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61:22:0600008:1270</w:t>
            </w:r>
          </w:p>
        </w:tc>
      </w:tr>
      <w:tr w:rsidR="007F70E7" w:rsidRPr="00550BAE" w14:paraId="568A22D1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4060BA2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92323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5D507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61:22:0600008:1269</w:t>
            </w:r>
          </w:p>
        </w:tc>
      </w:tr>
      <w:tr w:rsidR="007F70E7" w:rsidRPr="00550BAE" w14:paraId="149677A4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C668B63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E182D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24D91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61:22:0600008:1268</w:t>
            </w:r>
          </w:p>
        </w:tc>
      </w:tr>
      <w:tr w:rsidR="007F70E7" w:rsidRPr="00550BAE" w14:paraId="453B2B96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6B787863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F5572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6DA40B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61:22:0600008:1267</w:t>
            </w:r>
          </w:p>
        </w:tc>
      </w:tr>
      <w:tr w:rsidR="007F70E7" w:rsidRPr="00550BAE" w14:paraId="15754A62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A04016C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B73D3D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51F0E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61:22:0600008:1232</w:t>
            </w:r>
          </w:p>
        </w:tc>
      </w:tr>
      <w:tr w:rsidR="007F70E7" w:rsidRPr="00550BAE" w14:paraId="4B5D5BEC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4FB35377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5C91C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50F895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61:22:0600008:1217</w:t>
            </w:r>
          </w:p>
        </w:tc>
      </w:tr>
      <w:tr w:rsidR="007F70E7" w:rsidRPr="00550BAE" w14:paraId="3FB7B548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579C46DF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57C68F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6924DB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61:22:0600008:1125</w:t>
            </w:r>
          </w:p>
        </w:tc>
      </w:tr>
      <w:tr w:rsidR="007F70E7" w:rsidRPr="00550BAE" w14:paraId="44480828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05B26F30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04AB9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1F5D37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61:22:0600008:1117</w:t>
            </w:r>
          </w:p>
        </w:tc>
      </w:tr>
      <w:tr w:rsidR="007F70E7" w:rsidRPr="00550BAE" w14:paraId="159104DF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1A6DC611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4445C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CF2A28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61:22:0600008:1114</w:t>
            </w:r>
          </w:p>
        </w:tc>
      </w:tr>
      <w:tr w:rsidR="007F70E7" w:rsidRPr="00550BAE" w14:paraId="0BB78308" w14:textId="77777777" w:rsidTr="007F70E7">
        <w:trPr>
          <w:gridAfter w:val="1"/>
          <w:wAfter w:w="2660" w:type="dxa"/>
        </w:trPr>
        <w:tc>
          <w:tcPr>
            <w:tcW w:w="840" w:type="dxa"/>
            <w:tcBorders>
              <w:right w:val="single" w:sz="4" w:space="0" w:color="auto"/>
            </w:tcBorders>
          </w:tcPr>
          <w:p w14:paraId="777493AF" w14:textId="77777777" w:rsidR="007F70E7" w:rsidRPr="00223C1E" w:rsidRDefault="007F70E7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5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29503" w14:textId="77777777" w:rsidR="007F70E7" w:rsidRPr="00223C1E" w:rsidRDefault="007F70E7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2B786B" w14:textId="77777777" w:rsidR="007F70E7" w:rsidRPr="007F70E7" w:rsidRDefault="007F70E7" w:rsidP="007F70E7">
            <w:pPr>
              <w:jc w:val="center"/>
              <w:rPr>
                <w:rFonts w:ascii="Times New Roman" w:hAnsi="Times New Roman" w:cs="Times New Roman"/>
              </w:rPr>
            </w:pPr>
            <w:r w:rsidRPr="007F70E7">
              <w:rPr>
                <w:rFonts w:ascii="Times New Roman" w:hAnsi="Times New Roman" w:cs="Times New Roman"/>
              </w:rPr>
              <w:t>61:22:0600008:1039</w:t>
            </w:r>
          </w:p>
        </w:tc>
      </w:tr>
      <w:tr w:rsidR="005A5D8C" w:rsidRPr="00550BAE" w14:paraId="02B997AA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B70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22" w:name="sub_2010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10</w:t>
            </w:r>
            <w:bookmarkEnd w:id="22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E2DA2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собственность</w:t>
            </w:r>
          </w:p>
        </w:tc>
      </w:tr>
      <w:tr w:rsidR="005A5D8C" w:rsidRPr="00550BAE" w14:paraId="751E4957" w14:textId="77777777" w:rsidTr="00223C1E">
        <w:trPr>
          <w:trHeight w:val="100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FC1952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23" w:name="sub_2011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11</w:t>
            </w:r>
            <w:bookmarkEnd w:id="23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419FB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  <w:p w14:paraId="7945B60E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14:paraId="02662B4E" w14:textId="77777777" w:rsidR="005A5D8C" w:rsidRDefault="005A5D8C" w:rsidP="00613CD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2497F853" w14:textId="77777777" w:rsidR="005A5D8C" w:rsidRPr="00550BAE" w:rsidRDefault="005A5D8C" w:rsidP="00613CD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5A5D8C" w:rsidRPr="00550BAE" w14:paraId="1A8D7F38" w14:textId="77777777" w:rsidTr="002D503C">
        <w:trPr>
          <w:gridAfter w:val="1"/>
          <w:wAfter w:w="2660" w:type="dxa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08080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593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7F4A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761EE6E9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Да</w:t>
            </w:r>
          </w:p>
        </w:tc>
      </w:tr>
      <w:tr w:rsidR="005A5D8C" w:rsidRPr="00550BAE" w14:paraId="1D8668F3" w14:textId="77777777" w:rsidTr="002D503C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564383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8CCF6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8BC113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4C7AC939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Нет</w:t>
            </w:r>
          </w:p>
        </w:tc>
      </w:tr>
      <w:tr w:rsidR="005A5D8C" w:rsidRPr="00550BAE" w14:paraId="1A0BA295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291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24" w:name="sub_2012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12</w:t>
            </w:r>
            <w:bookmarkEnd w:id="24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A78AC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Документы, прилагаемые к ходатайству</w:t>
            </w:r>
          </w:p>
          <w:p w14:paraId="604429B6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1)</w:t>
            </w:r>
            <w:r w:rsidRPr="00223C1E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 п. 5 ст. 39.41 ЗК РФ);</w:t>
            </w:r>
          </w:p>
          <w:p w14:paraId="3201130B" w14:textId="77777777" w:rsidR="005A5D8C" w:rsidRPr="008D6C49" w:rsidRDefault="005A5D8C" w:rsidP="00223C1E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2) Свидетельство о государственной регистрации </w:t>
            </w:r>
            <w:r w:rsidRPr="005F35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прав</w:t>
            </w:r>
            <w:r w:rsidR="005F356A" w:rsidRPr="005F35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</w:t>
            </w:r>
            <w:r w:rsidR="005F356A" w:rsidRPr="005F356A">
              <w:t xml:space="preserve"> </w:t>
            </w:r>
            <w:r w:rsidR="005F356A" w:rsidRPr="005F356A">
              <w:rPr>
                <w:rFonts w:ascii="Times New Roman" w:hAnsi="Times New Roman" w:cs="Times New Roman"/>
                <w:color w:val="000000" w:themeColor="text1"/>
              </w:rPr>
              <w:t>61 АД №</w:t>
            </w:r>
            <w:r w:rsidR="005F35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356A" w:rsidRPr="005F356A">
              <w:rPr>
                <w:rFonts w:ascii="Times New Roman" w:hAnsi="Times New Roman" w:cs="Times New Roman"/>
                <w:color w:val="000000" w:themeColor="text1"/>
              </w:rPr>
              <w:t>032775 от 27.06.2008</w:t>
            </w:r>
            <w:r w:rsidR="005F356A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="005F356A"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</w:t>
            </w:r>
            <w:proofErr w:type="spellStart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3 п. 5 ст. 39.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41 ЗК РФ);</w:t>
            </w:r>
          </w:p>
          <w:p w14:paraId="6E44645C" w14:textId="77777777" w:rsidR="005A5D8C" w:rsidRPr="008D6C49" w:rsidRDefault="005A5D8C" w:rsidP="00223C1E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3) </w:t>
            </w:r>
            <w:r w:rsidR="00047F59">
              <w:rPr>
                <w:rFonts w:ascii="Times New Roman CYR" w:eastAsia="Calibri" w:hAnsi="Times New Roman CYR" w:cs="Times New Roman CYR"/>
                <w:color w:val="auto"/>
              </w:rPr>
              <w:t>Доверенность от 28.10.2019 г. 61АА6949289</w:t>
            </w:r>
            <w:r w:rsidR="00047F59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</w:t>
            </w:r>
            <w:proofErr w:type="spellStart"/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4 п.5 ст. 39.41 ЗК РФ).</w:t>
            </w:r>
          </w:p>
          <w:p w14:paraId="50CB15AE" w14:textId="77777777" w:rsidR="005A5D8C" w:rsidRPr="00223C1E" w:rsidRDefault="005A5D8C" w:rsidP="008D6C4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электросетевого хозяйства </w:t>
            </w:r>
            <w:proofErr w:type="gramStart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ВЛ</w:t>
            </w:r>
            <w:proofErr w:type="gramEnd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 xml:space="preserve"> 35 </w:t>
            </w:r>
            <w:proofErr w:type="spellStart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 xml:space="preserve"> «ГОК-</w:t>
            </w:r>
            <w:proofErr w:type="spellStart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Мальчевская</w:t>
            </w:r>
            <w:proofErr w:type="spellEnd"/>
            <w:r w:rsidR="005F356A" w:rsidRPr="00616A5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5F356A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существующий (год ввода в эксплуатацию – 197</w:t>
            </w:r>
            <w:r w:rsidR="005F356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6</w:t>
            </w:r>
            <w:r w:rsidR="005F356A"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г.)</w:t>
            </w:r>
            <w:r w:rsidRPr="008D6C4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и</w:t>
            </w: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2 п. 5 ст. 39.41 ЗК РФ, не приводятся. </w:t>
            </w:r>
          </w:p>
        </w:tc>
      </w:tr>
      <w:tr w:rsidR="005A5D8C" w:rsidRPr="00550BAE" w14:paraId="17C6016A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6F5" w14:textId="77777777" w:rsidR="005A5D8C" w:rsidRPr="00223C1E" w:rsidRDefault="005A5D8C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25" w:name="sub_2013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13</w:t>
            </w:r>
            <w:bookmarkEnd w:id="25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70420" w14:textId="77777777" w:rsidR="005A5D8C" w:rsidRPr="00223C1E" w:rsidRDefault="005A5D8C" w:rsidP="00F45B2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  <w:proofErr w:type="gramEnd"/>
          </w:p>
        </w:tc>
      </w:tr>
      <w:tr w:rsidR="005A5D8C" w:rsidRPr="00550BAE" w14:paraId="7FFFEC66" w14:textId="77777777" w:rsidTr="00540B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56B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26" w:name="sub_2014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14</w:t>
            </w:r>
            <w:bookmarkEnd w:id="26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99F67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8" w:history="1">
              <w:r w:rsidRPr="00223C1E">
                <w:rPr>
                  <w:rFonts w:ascii="Times New Roman" w:eastAsiaTheme="minorEastAsia" w:hAnsi="Times New Roman" w:cs="Times New Roman"/>
                  <w:color w:val="auto"/>
                  <w:lang w:bidi="ar-SA"/>
                </w:rPr>
                <w:t>статьей 39.41</w:t>
              </w:r>
            </w:hyperlink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Земельного кодекса Российской Федерации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14:paraId="7F5521D5" w14:textId="77777777" w:rsidR="005A5D8C" w:rsidRPr="00550BAE" w:rsidRDefault="005A5D8C" w:rsidP="00613CD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5A5D8C" w:rsidRPr="00550BAE" w14:paraId="32DF1575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75C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27" w:name="sub_2015"/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15</w:t>
            </w:r>
            <w:bookmarkEnd w:id="27"/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31B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Подпись: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3DC80" w14:textId="77777777" w:rsidR="005A5D8C" w:rsidRPr="00223C1E" w:rsidRDefault="005A5D8C" w:rsidP="00223C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23C1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Дата:</w:t>
            </w:r>
          </w:p>
        </w:tc>
      </w:tr>
      <w:tr w:rsidR="00047F59" w:rsidRPr="00550BAE" w14:paraId="024661B6" w14:textId="77777777" w:rsidTr="00540B13">
        <w:trPr>
          <w:gridAfter w:val="1"/>
          <w:wAfter w:w="26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631" w14:textId="77777777" w:rsidR="00047F59" w:rsidRPr="00550BAE" w:rsidRDefault="00047F59" w:rsidP="00047F5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553BA" w14:textId="77777777" w:rsidR="00047F59" w:rsidRPr="00550BAE" w:rsidRDefault="00047F59" w:rsidP="00047F59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7E83B17" wp14:editId="732FA7B6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-103364</wp:posOffset>
                  </wp:positionV>
                  <wp:extent cx="1466850" cy="516114"/>
                  <wp:effectExtent l="0" t="0" r="0" b="0"/>
                  <wp:wrapNone/>
                  <wp:docPr id="1" name="Рисунок 1" descr="C:\Users\ZHENIA\Desktop\удаленка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ENIA\Desktop\удаленка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71" cy="51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14:paraId="1B29DCD1" w14:textId="77777777" w:rsidR="00047F59" w:rsidRPr="00550BAE" w:rsidRDefault="00047F59" w:rsidP="00047F59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8F406" w14:textId="77777777" w:rsidR="00047F59" w:rsidRPr="00550BAE" w:rsidRDefault="00047F59" w:rsidP="00047F59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О.А.Белоусова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</w:t>
            </w:r>
          </w:p>
          <w:p w14:paraId="62866990" w14:textId="77777777" w:rsidR="00047F59" w:rsidRPr="00550BAE" w:rsidRDefault="00047F59" w:rsidP="00047F59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C9BEB" w14:textId="77777777" w:rsidR="00047F59" w:rsidRPr="00550BAE" w:rsidRDefault="00047F59" w:rsidP="00047F59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  <w:r w:rsidR="009A4C5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27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 </w:t>
            </w:r>
            <w:r w:rsidR="00563C8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ию</w:t>
            </w:r>
            <w:r w:rsidR="0075073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л</w:t>
            </w:r>
            <w:r w:rsidR="00563C8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я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2020</w:t>
            </w:r>
            <w:r w:rsidRPr="00550BA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14:paraId="611F46B3" w14:textId="77777777" w:rsidR="00431CDC" w:rsidRDefault="00431CDC" w:rsidP="00FD4743"/>
    <w:sectPr w:rsidR="00431CDC" w:rsidSect="00BF19B3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24B"/>
    <w:multiLevelType w:val="hybridMultilevel"/>
    <w:tmpl w:val="0B3EB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27EAF"/>
    <w:multiLevelType w:val="hybridMultilevel"/>
    <w:tmpl w:val="CC5C9922"/>
    <w:lvl w:ilvl="0" w:tplc="285498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6208"/>
    <w:multiLevelType w:val="hybridMultilevel"/>
    <w:tmpl w:val="F2E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D"/>
    <w:rsid w:val="00012234"/>
    <w:rsid w:val="000367D2"/>
    <w:rsid w:val="00047F59"/>
    <w:rsid w:val="00055770"/>
    <w:rsid w:val="00070C8E"/>
    <w:rsid w:val="000B3424"/>
    <w:rsid w:val="000E7ABC"/>
    <w:rsid w:val="00102F31"/>
    <w:rsid w:val="0010370B"/>
    <w:rsid w:val="0014586B"/>
    <w:rsid w:val="00161204"/>
    <w:rsid w:val="001750D0"/>
    <w:rsid w:val="00185A11"/>
    <w:rsid w:val="00195C44"/>
    <w:rsid w:val="001C34DA"/>
    <w:rsid w:val="001E7820"/>
    <w:rsid w:val="0021017E"/>
    <w:rsid w:val="00212CC1"/>
    <w:rsid w:val="00223C1E"/>
    <w:rsid w:val="002A2DA1"/>
    <w:rsid w:val="002D503C"/>
    <w:rsid w:val="00311AED"/>
    <w:rsid w:val="00313CB2"/>
    <w:rsid w:val="003C02B1"/>
    <w:rsid w:val="00431CDC"/>
    <w:rsid w:val="004A335D"/>
    <w:rsid w:val="005131C8"/>
    <w:rsid w:val="005242EB"/>
    <w:rsid w:val="00540B13"/>
    <w:rsid w:val="00550BAE"/>
    <w:rsid w:val="00563C8F"/>
    <w:rsid w:val="00564DE6"/>
    <w:rsid w:val="005851F2"/>
    <w:rsid w:val="005A0F0B"/>
    <w:rsid w:val="005A5D8C"/>
    <w:rsid w:val="005D5A32"/>
    <w:rsid w:val="005E4F59"/>
    <w:rsid w:val="005F356A"/>
    <w:rsid w:val="00613CD6"/>
    <w:rsid w:val="00616A5D"/>
    <w:rsid w:val="00650F8B"/>
    <w:rsid w:val="006B63A7"/>
    <w:rsid w:val="00700C52"/>
    <w:rsid w:val="00724222"/>
    <w:rsid w:val="007473AF"/>
    <w:rsid w:val="0075073D"/>
    <w:rsid w:val="00754E47"/>
    <w:rsid w:val="007931A5"/>
    <w:rsid w:val="007A4A1F"/>
    <w:rsid w:val="007B7AB7"/>
    <w:rsid w:val="007D5B83"/>
    <w:rsid w:val="007F70E7"/>
    <w:rsid w:val="0086512F"/>
    <w:rsid w:val="008D6C49"/>
    <w:rsid w:val="008E610B"/>
    <w:rsid w:val="00911547"/>
    <w:rsid w:val="00983165"/>
    <w:rsid w:val="009A4C5A"/>
    <w:rsid w:val="009F09C4"/>
    <w:rsid w:val="00A179DA"/>
    <w:rsid w:val="00A909BE"/>
    <w:rsid w:val="00AA2594"/>
    <w:rsid w:val="00B21D5E"/>
    <w:rsid w:val="00B35422"/>
    <w:rsid w:val="00B42E1F"/>
    <w:rsid w:val="00B70FBB"/>
    <w:rsid w:val="00B807BE"/>
    <w:rsid w:val="00B96A32"/>
    <w:rsid w:val="00BA1380"/>
    <w:rsid w:val="00BA59E0"/>
    <w:rsid w:val="00BF19B3"/>
    <w:rsid w:val="00C069B2"/>
    <w:rsid w:val="00C65285"/>
    <w:rsid w:val="00C749ED"/>
    <w:rsid w:val="00C85700"/>
    <w:rsid w:val="00C926F4"/>
    <w:rsid w:val="00C96B54"/>
    <w:rsid w:val="00CB2B0D"/>
    <w:rsid w:val="00D10461"/>
    <w:rsid w:val="00D264AC"/>
    <w:rsid w:val="00D558E8"/>
    <w:rsid w:val="00D60C55"/>
    <w:rsid w:val="00D814F6"/>
    <w:rsid w:val="00D836E6"/>
    <w:rsid w:val="00D92AF0"/>
    <w:rsid w:val="00D967F0"/>
    <w:rsid w:val="00DC3F71"/>
    <w:rsid w:val="00E13EDC"/>
    <w:rsid w:val="00E22275"/>
    <w:rsid w:val="00E27900"/>
    <w:rsid w:val="00E3028D"/>
    <w:rsid w:val="00E43834"/>
    <w:rsid w:val="00E6107E"/>
    <w:rsid w:val="00EA3D49"/>
    <w:rsid w:val="00ED261F"/>
    <w:rsid w:val="00ED2FC9"/>
    <w:rsid w:val="00F45B21"/>
    <w:rsid w:val="00FB57DA"/>
    <w:rsid w:val="00FC7265"/>
    <w:rsid w:val="00F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3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49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9E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49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9E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24624&amp;sub=394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7799/adcd0946aba86fae69e77717988b117bc8ca717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24624&amp;sub=3941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User</cp:lastModifiedBy>
  <cp:revision>2</cp:revision>
  <cp:lastPrinted>2020-07-27T07:52:00Z</cp:lastPrinted>
  <dcterms:created xsi:type="dcterms:W3CDTF">2020-09-04T07:57:00Z</dcterms:created>
  <dcterms:modified xsi:type="dcterms:W3CDTF">2020-09-04T07:57:00Z</dcterms:modified>
</cp:coreProperties>
</file>